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640"/>
        <w:jc w:val="center"/>
        <w:textAlignment w:val="baseline"/>
        <w:rPr>
          <w:rFonts w:asciiTheme="minorEastAsia" w:hAnsiTheme="minorEastAsia" w:eastAsiaTheme="minorEastAsia"/>
          <w:b/>
          <w:sz w:val="32"/>
          <w:szCs w:val="32"/>
        </w:rPr>
      </w:pPr>
      <w:r>
        <w:rPr>
          <w:rFonts w:hint="eastAsia"/>
          <w:b/>
          <w:sz w:val="32"/>
          <w:szCs w:val="32"/>
        </w:rPr>
        <w:t xml:space="preserve">    </w:t>
      </w:r>
      <w:r>
        <w:rPr>
          <w:rFonts w:hint="eastAsia" w:asciiTheme="minorEastAsia" w:hAnsiTheme="minorEastAsia" w:eastAsiaTheme="minorEastAsia"/>
          <w:b/>
          <w:sz w:val="32"/>
          <w:szCs w:val="32"/>
        </w:rPr>
        <w:t>南京中医药大学卓越奖学金评定细则</w:t>
      </w:r>
    </w:p>
    <w:p>
      <w:pPr>
        <w:pStyle w:val="2"/>
        <w:spacing w:line="48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第一章  总   则</w:t>
      </w:r>
    </w:p>
    <w:p>
      <w:pPr>
        <w:pStyle w:val="2"/>
        <w:spacing w:line="480" w:lineRule="exact"/>
        <w:ind w:firstLine="555"/>
        <w:rPr>
          <w:rFonts w:asciiTheme="minorEastAsia" w:hAnsiTheme="minorEastAsia" w:eastAsiaTheme="minorEastAsia"/>
          <w:sz w:val="28"/>
          <w:szCs w:val="28"/>
        </w:rPr>
      </w:pPr>
      <w:r>
        <w:rPr>
          <w:rFonts w:hint="eastAsia" w:asciiTheme="minorEastAsia" w:hAnsiTheme="minorEastAsia" w:eastAsiaTheme="minorEastAsia"/>
          <w:b/>
          <w:sz w:val="28"/>
          <w:szCs w:val="28"/>
        </w:rPr>
        <w:t>第一条</w:t>
      </w:r>
      <w:r>
        <w:rPr>
          <w:rFonts w:hint="eastAsia" w:asciiTheme="minorEastAsia" w:hAnsiTheme="minorEastAsia" w:eastAsiaTheme="minorEastAsia"/>
          <w:sz w:val="28"/>
          <w:szCs w:val="28"/>
        </w:rPr>
        <w:t xml:space="preserve">  为进一步支持南京中医药大学中医中药拔尖创新人才培养工作，激励广大同学努力学习、奋发成才，促进中医药卫生事业的发展，鲁南制药集团股份有限公司决定在我校设立“卓越奖学金”，奖励品学兼优的学生。</w:t>
      </w:r>
    </w:p>
    <w:p>
      <w:pPr>
        <w:pStyle w:val="2"/>
        <w:spacing w:line="4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第二条</w:t>
      </w:r>
      <w:r>
        <w:rPr>
          <w:rFonts w:hint="eastAsia" w:asciiTheme="minorEastAsia" w:hAnsiTheme="minorEastAsia" w:eastAsiaTheme="minorEastAsia"/>
          <w:sz w:val="28"/>
          <w:szCs w:val="28"/>
        </w:rPr>
        <w:t xml:space="preserve">  卓越奖学金评定范围为中医学(本博连读) (中医拔尖创新人才培养模式改革9年制)、中药学(本博连读)（中药学拔尖创新人才培养模式改革4+5一体化）专业二年级及以上学生。</w:t>
      </w:r>
    </w:p>
    <w:p>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第三条  卓越奖学金名额每年8-10名，奖学金标准为每人一次性奖励10000元。</w:t>
      </w:r>
    </w:p>
    <w:p>
      <w:pPr>
        <w:pStyle w:val="2"/>
        <w:spacing w:line="48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第二章  评定机构</w:t>
      </w:r>
    </w:p>
    <w:p>
      <w:pPr>
        <w:pStyle w:val="2"/>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第四条</w:t>
      </w:r>
      <w:r>
        <w:rPr>
          <w:rFonts w:hint="eastAsia" w:asciiTheme="minorEastAsia" w:hAnsiTheme="minorEastAsia" w:eastAsiaTheme="minorEastAsia"/>
          <w:sz w:val="28"/>
          <w:szCs w:val="28"/>
        </w:rPr>
        <w:t xml:space="preserve">  学校奖贷基金管理委员会负责卓越奖学金的评定和发放工作。该委员会聘请鲁南制药集团股份有限公司相关负责人为评审工作顾问。</w:t>
      </w:r>
    </w:p>
    <w:p>
      <w:pPr>
        <w:pStyle w:val="2"/>
        <w:spacing w:line="4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第五条</w:t>
      </w:r>
      <w:r>
        <w:rPr>
          <w:rFonts w:hint="eastAsia" w:asciiTheme="minorEastAsia" w:hAnsiTheme="minorEastAsia" w:eastAsiaTheme="minorEastAsia"/>
          <w:sz w:val="28"/>
          <w:szCs w:val="28"/>
        </w:rPr>
        <w:t xml:space="preserve">  学校奖贷基金管理委员会办公室设在学生工作处，由学生工作处负责奖学金评审的具体组织与实施。</w:t>
      </w:r>
    </w:p>
    <w:p>
      <w:pPr>
        <w:pStyle w:val="2"/>
        <w:spacing w:line="4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第六条</w:t>
      </w:r>
      <w:r>
        <w:rPr>
          <w:rFonts w:hint="eastAsia" w:asciiTheme="minorEastAsia" w:hAnsiTheme="minorEastAsia" w:eastAsiaTheme="minorEastAsia"/>
          <w:sz w:val="28"/>
          <w:szCs w:val="28"/>
        </w:rPr>
        <w:t xml:space="preserve">  相关学院成立卓越奖学金评审工作小组，由院长负责，院学生工作领导小组成员兼任小组成员。班级成立卓越奖学金评议小组，由辅导员负责，小组成员由班级主要学生干部担任。</w:t>
      </w:r>
    </w:p>
    <w:p>
      <w:pPr>
        <w:pStyle w:val="2"/>
        <w:spacing w:line="48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第三章  评定程序和办法</w:t>
      </w:r>
    </w:p>
    <w:p>
      <w:pPr>
        <w:pStyle w:val="2"/>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第七条</w:t>
      </w:r>
      <w:r>
        <w:rPr>
          <w:rFonts w:hint="eastAsia" w:asciiTheme="minorEastAsia" w:hAnsiTheme="minorEastAsia" w:eastAsiaTheme="minorEastAsia"/>
          <w:sz w:val="28"/>
          <w:szCs w:val="28"/>
        </w:rPr>
        <w:t xml:space="preserve">  卓越奖学金评定工作按下列程序进行:</w:t>
      </w:r>
    </w:p>
    <w:p>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1、学生本人提出书面申请，经班级、小组评议,相关学院评审工作小组按照名额分配进行初选；</w:t>
      </w:r>
    </w:p>
    <w:p>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2、初选合格者进行院内公示，通过者填写《南京中医药大学卓越奖学金审批表》，院长在《审批表》上签署意见后，送校卓越奖学金评审委员会办公室汇总；</w:t>
      </w:r>
    </w:p>
    <w:p>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3、校奖贷基金管理委员会，在充分讨论的基础上，采取一定的方式进行最终表决。</w:t>
      </w:r>
    </w:p>
    <w:p>
      <w:pPr>
        <w:pStyle w:val="2"/>
        <w:spacing w:line="48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第四章  评定条件</w:t>
      </w:r>
    </w:p>
    <w:p>
      <w:pPr>
        <w:pStyle w:val="2"/>
        <w:spacing w:line="4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第八条</w:t>
      </w:r>
      <w:r>
        <w:rPr>
          <w:rFonts w:hint="eastAsia" w:asciiTheme="minorEastAsia" w:hAnsiTheme="minorEastAsia" w:eastAsiaTheme="minorEastAsia"/>
          <w:sz w:val="28"/>
          <w:szCs w:val="28"/>
        </w:rPr>
        <w:t xml:space="preserve"> 学生必须</w:t>
      </w:r>
      <w:r>
        <w:rPr>
          <w:rFonts w:asciiTheme="minorEastAsia" w:hAnsiTheme="minorEastAsia" w:eastAsiaTheme="minorEastAsia"/>
          <w:sz w:val="28"/>
          <w:szCs w:val="28"/>
        </w:rPr>
        <w:t>热爱祖国，遵纪守法、刻苦学习，努力进取，具有良好的道德品行和个人修养</w:t>
      </w:r>
      <w:r>
        <w:rPr>
          <w:rFonts w:hint="eastAsia" w:asciiTheme="minorEastAsia" w:hAnsiTheme="minorEastAsia" w:eastAsiaTheme="minorEastAsia"/>
          <w:sz w:val="28"/>
          <w:szCs w:val="28"/>
        </w:rPr>
        <w:t>，在此基础上结合自身条件，可以申请以下奖项之一；</w:t>
      </w:r>
    </w:p>
    <w:p>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1.勤学奖：学年综合素质测评成绩为同年级同专业前10%；</w:t>
      </w:r>
    </w:p>
    <w:p>
      <w:pPr>
        <w:pStyle w:val="2"/>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2.立德奖：在道德、品行、励志等某一个方面或几个方面具有较为突出的先进事迹，产生一定的积极影响，在同学中起到模范带头作用，并因此荣获校级及以上表彰；</w:t>
      </w:r>
    </w:p>
    <w:p>
      <w:pPr>
        <w:spacing w:line="480" w:lineRule="exact"/>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3．创新奖：参加学校认定的各类竞赛、科学研究、发明创造、创新创业实践、发表论文（专利或其他知识产权成果）等方面取得优异成果；</w:t>
      </w:r>
    </w:p>
    <w:p>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4．留学奖：获得学校组织和认可的长短期境外交流学习项目，在交流学习期间，表现突出，成绩优异并获得表彰。</w:t>
      </w:r>
      <w:r>
        <w:rPr>
          <w:rFonts w:asciiTheme="minorEastAsia" w:hAnsiTheme="minorEastAsia" w:eastAsiaTheme="minorEastAsia"/>
          <w:sz w:val="28"/>
          <w:szCs w:val="28"/>
        </w:rPr>
        <w:t xml:space="preserve"> </w:t>
      </w:r>
    </w:p>
    <w:p>
      <w:pPr>
        <w:spacing w:line="4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第九条</w:t>
      </w:r>
      <w:r>
        <w:rPr>
          <w:rFonts w:hint="eastAsia" w:asciiTheme="minorEastAsia" w:hAnsiTheme="minorEastAsia" w:eastAsiaTheme="minorEastAsia"/>
          <w:sz w:val="28"/>
          <w:szCs w:val="28"/>
        </w:rPr>
        <w:t xml:space="preserve"> 本学年受到校、院通报批评及其他各类处分者，以及当学年必修课首考成绩中有不及格者，不得申请此奖学金。</w:t>
      </w:r>
    </w:p>
    <w:p>
      <w:pPr>
        <w:pStyle w:val="2"/>
        <w:spacing w:line="48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第五章  附     则</w:t>
      </w:r>
    </w:p>
    <w:p>
      <w:pPr>
        <w:pStyle w:val="2"/>
        <w:spacing w:line="4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第十条</w:t>
      </w:r>
      <w:r>
        <w:rPr>
          <w:rFonts w:hint="eastAsia" w:asciiTheme="minorEastAsia" w:hAnsiTheme="minorEastAsia" w:eastAsiaTheme="minorEastAsia"/>
          <w:sz w:val="28"/>
          <w:szCs w:val="28"/>
        </w:rPr>
        <w:t xml:space="preserve">  卓越奖学金评定时间为每年11月份。</w:t>
      </w:r>
    </w:p>
    <w:p>
      <w:pPr>
        <w:pStyle w:val="2"/>
        <w:spacing w:line="4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第十一条</w:t>
      </w:r>
      <w:r>
        <w:rPr>
          <w:rFonts w:hint="eastAsia" w:asciiTheme="minorEastAsia" w:hAnsiTheme="minorEastAsia" w:eastAsiaTheme="minorEastAsia"/>
          <w:sz w:val="28"/>
          <w:szCs w:val="28"/>
        </w:rPr>
        <w:t xml:space="preserve">  卓越奖学金的评定是一项十分严肃的工作，相关学院应切实加强领导，做到公开、公平、公正，各有关部门要积极配合，以保证卓越奖学金的评定发放工作顺利进行。</w:t>
      </w:r>
    </w:p>
    <w:p>
      <w:pPr>
        <w:pStyle w:val="2"/>
        <w:spacing w:line="4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第十二条</w:t>
      </w:r>
      <w:r>
        <w:rPr>
          <w:rFonts w:hint="eastAsia" w:asciiTheme="minorEastAsia" w:hAnsiTheme="minorEastAsia" w:eastAsiaTheme="minorEastAsia"/>
          <w:sz w:val="28"/>
          <w:szCs w:val="28"/>
        </w:rPr>
        <w:t xml:space="preserve">  对获得卓越奖学金的学生，学校颁发证书并按规定标准一次性发放奖学金。</w:t>
      </w:r>
    </w:p>
    <w:p>
      <w:pPr>
        <w:pStyle w:val="2"/>
        <w:spacing w:line="480" w:lineRule="exact"/>
        <w:ind w:firstLine="562" w:firstLineChars="200"/>
        <w:rPr>
          <w:rFonts w:ascii="方正宋三简体" w:eastAsia="方正宋三简体"/>
          <w:sz w:val="28"/>
          <w:szCs w:val="28"/>
        </w:rPr>
      </w:pPr>
      <w:r>
        <w:rPr>
          <w:rFonts w:hint="eastAsia" w:asciiTheme="minorEastAsia" w:hAnsiTheme="minorEastAsia" w:eastAsiaTheme="minorEastAsia"/>
          <w:b/>
          <w:sz w:val="28"/>
          <w:szCs w:val="28"/>
        </w:rPr>
        <w:t>第十三条</w:t>
      </w:r>
      <w:r>
        <w:rPr>
          <w:rFonts w:hint="eastAsia" w:asciiTheme="minorEastAsia" w:hAnsiTheme="minorEastAsia" w:eastAsiaTheme="minorEastAsia"/>
          <w:sz w:val="28"/>
          <w:szCs w:val="28"/>
        </w:rPr>
        <w:t xml:space="preserve">  本细则解释权在校奖贷基金管理委员会。</w:t>
      </w:r>
    </w:p>
    <w:p>
      <w:pPr>
        <w:pStyle w:val="2"/>
        <w:spacing w:line="500" w:lineRule="exact"/>
        <w:rPr>
          <w:rFonts w:ascii="方正宋三简体" w:eastAsia="方正宋三简体"/>
          <w:sz w:val="28"/>
          <w:szCs w:val="28"/>
        </w:rPr>
      </w:pPr>
    </w:p>
    <w:p>
      <w:pPr>
        <w:widowControl/>
        <w:jc w:val="left"/>
        <w:rPr>
          <w:rFonts w:ascii="方正宋三简体" w:eastAsia="方正宋三简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三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0"/>
    <w:rsid w:val="00005C99"/>
    <w:rsid w:val="00035D7C"/>
    <w:rsid w:val="000468D5"/>
    <w:rsid w:val="00047F13"/>
    <w:rsid w:val="00072488"/>
    <w:rsid w:val="000B5056"/>
    <w:rsid w:val="000B6561"/>
    <w:rsid w:val="000C2861"/>
    <w:rsid w:val="000E215B"/>
    <w:rsid w:val="00126C68"/>
    <w:rsid w:val="0017527D"/>
    <w:rsid w:val="001A66BC"/>
    <w:rsid w:val="0027457A"/>
    <w:rsid w:val="00311E61"/>
    <w:rsid w:val="003241A8"/>
    <w:rsid w:val="00355064"/>
    <w:rsid w:val="00381D6F"/>
    <w:rsid w:val="003A5189"/>
    <w:rsid w:val="00417712"/>
    <w:rsid w:val="00426913"/>
    <w:rsid w:val="00481CD0"/>
    <w:rsid w:val="0050783A"/>
    <w:rsid w:val="0054498D"/>
    <w:rsid w:val="005473B6"/>
    <w:rsid w:val="0058024D"/>
    <w:rsid w:val="005A0F73"/>
    <w:rsid w:val="005D45FB"/>
    <w:rsid w:val="0061473B"/>
    <w:rsid w:val="006309FA"/>
    <w:rsid w:val="006601C6"/>
    <w:rsid w:val="006834F4"/>
    <w:rsid w:val="00697F8C"/>
    <w:rsid w:val="006A0F28"/>
    <w:rsid w:val="006C08BC"/>
    <w:rsid w:val="006D537F"/>
    <w:rsid w:val="006F726E"/>
    <w:rsid w:val="00781CE7"/>
    <w:rsid w:val="00781FE8"/>
    <w:rsid w:val="007908B3"/>
    <w:rsid w:val="007A5615"/>
    <w:rsid w:val="007A60FC"/>
    <w:rsid w:val="007A75D1"/>
    <w:rsid w:val="007E5CC0"/>
    <w:rsid w:val="00811C86"/>
    <w:rsid w:val="00812559"/>
    <w:rsid w:val="00854A0D"/>
    <w:rsid w:val="00862B5C"/>
    <w:rsid w:val="00875493"/>
    <w:rsid w:val="00906CC7"/>
    <w:rsid w:val="00980CB2"/>
    <w:rsid w:val="00996CF3"/>
    <w:rsid w:val="009D1132"/>
    <w:rsid w:val="00A51613"/>
    <w:rsid w:val="00AC37AD"/>
    <w:rsid w:val="00B12B68"/>
    <w:rsid w:val="00BD2354"/>
    <w:rsid w:val="00BF5558"/>
    <w:rsid w:val="00C156BE"/>
    <w:rsid w:val="00C32C16"/>
    <w:rsid w:val="00D53886"/>
    <w:rsid w:val="00D768AA"/>
    <w:rsid w:val="00DA26A3"/>
    <w:rsid w:val="00DC2268"/>
    <w:rsid w:val="00DF22F8"/>
    <w:rsid w:val="00E1333F"/>
    <w:rsid w:val="00E46A65"/>
    <w:rsid w:val="00E77B7E"/>
    <w:rsid w:val="00E92674"/>
    <w:rsid w:val="00EA09A3"/>
    <w:rsid w:val="00EA7867"/>
    <w:rsid w:val="00EC43D9"/>
    <w:rsid w:val="00ED4749"/>
    <w:rsid w:val="00EF48F9"/>
    <w:rsid w:val="00F14F93"/>
    <w:rsid w:val="00F16A9E"/>
    <w:rsid w:val="00F242B3"/>
    <w:rsid w:val="00F86152"/>
    <w:rsid w:val="00F86353"/>
    <w:rsid w:val="00FD6BFE"/>
    <w:rsid w:val="00FE3F57"/>
    <w:rsid w:val="11212A88"/>
    <w:rsid w:val="52A2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theme="minorBidi"/>
      <w:szCs w:val="22"/>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qFormat/>
    <w:uiPriority w:val="0"/>
    <w:rPr>
      <w:rFonts w:ascii="宋体" w:hAnsi="Courier New" w:eastAsia="宋体"/>
    </w:rPr>
  </w:style>
  <w:style w:type="character" w:customStyle="1" w:styleId="9">
    <w:name w:val="纯文本 Char1"/>
    <w:basedOn w:val="7"/>
    <w:semiHidden/>
    <w:qFormat/>
    <w:uiPriority w:val="99"/>
    <w:rPr>
      <w:rFonts w:ascii="宋体" w:hAnsi="Courier New" w:eastAsia="宋体" w:cs="Courier New"/>
      <w:szCs w:val="21"/>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47618-5555-4401-A58F-6758324BF07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247</Words>
  <Characters>1409</Characters>
  <Lines>11</Lines>
  <Paragraphs>3</Paragraphs>
  <TotalTime>8</TotalTime>
  <ScaleCrop>false</ScaleCrop>
  <LinksUpToDate>false</LinksUpToDate>
  <CharactersWithSpaces>1653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2019-01-07T06:44:00Z</dcterms:created>
  <dc:creator>AutoBVT</dc:creator>
  <cp:lastModifiedBy>莫</cp:lastModifiedBy>
  <cp:lastPrinted>2019-01-07T06:25:00Z</cp:lastPrinted>
  <dcterms:modified xsi:type="dcterms:W3CDTF">2019-12-13T08:51:57Z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